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FE6" w:rsidRPr="00124FE6" w:rsidRDefault="00124FE6" w:rsidP="00124FE6">
      <w:pPr>
        <w:pStyle w:val="a3"/>
        <w:spacing w:line="240" w:lineRule="exact"/>
        <w:jc w:val="left"/>
        <w:rPr>
          <w:rFonts w:ascii="微软雅黑" w:eastAsia="微软雅黑" w:hAnsi="微软雅黑" w:cs="宋体"/>
          <w:b/>
          <w:color w:val="002060"/>
          <w:sz w:val="22"/>
          <w:szCs w:val="22"/>
        </w:rPr>
      </w:pPr>
    </w:p>
    <w:p w:rsidR="00AE6AD0" w:rsidRPr="009679B1" w:rsidRDefault="001D75EC" w:rsidP="00124FE6">
      <w:pPr>
        <w:pStyle w:val="a3"/>
        <w:spacing w:line="600" w:lineRule="exact"/>
        <w:jc w:val="center"/>
        <w:rPr>
          <w:rFonts w:ascii="微软雅黑" w:eastAsia="微软雅黑" w:hAnsi="微软雅黑" w:cs="宋体"/>
          <w:b/>
          <w:color w:val="7030A0"/>
          <w:sz w:val="40"/>
          <w:szCs w:val="40"/>
        </w:rPr>
      </w:pPr>
      <w:r w:rsidRPr="009679B1">
        <w:rPr>
          <w:rFonts w:ascii="微软雅黑" w:eastAsia="微软雅黑" w:hAnsi="微软雅黑" w:cs="宋体" w:hint="eastAsia"/>
          <w:b/>
          <w:color w:val="7030A0"/>
          <w:sz w:val="40"/>
          <w:szCs w:val="40"/>
        </w:rPr>
        <w:t>人民法院在线诉讼规则</w:t>
      </w:r>
    </w:p>
    <w:p w:rsidR="00AE6AD0" w:rsidRDefault="00AE6AD0" w:rsidP="00124FE6">
      <w:pPr>
        <w:pStyle w:val="a3"/>
        <w:spacing w:line="240" w:lineRule="exact"/>
        <w:rPr>
          <w:rFonts w:ascii="微软雅黑" w:eastAsia="微软雅黑" w:hAnsi="微软雅黑" w:cs="宋体"/>
          <w:sz w:val="24"/>
          <w:szCs w:val="24"/>
        </w:rPr>
      </w:pPr>
    </w:p>
    <w:p w:rsidR="00124FE6" w:rsidRDefault="00124FE6" w:rsidP="00124FE6">
      <w:pPr>
        <w:pStyle w:val="a3"/>
        <w:spacing w:line="240" w:lineRule="exact"/>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021-08-01</w:t>
      </w:r>
    </w:p>
    <w:p w:rsidR="00124FE6" w:rsidRPr="000D3DE9" w:rsidRDefault="00124FE6" w:rsidP="00124FE6">
      <w:pPr>
        <w:pStyle w:val="a3"/>
        <w:spacing w:line="240" w:lineRule="exact"/>
        <w:rPr>
          <w:rFonts w:ascii="微软雅黑" w:eastAsia="微软雅黑" w:hAnsi="微软雅黑" w:cs="宋体" w:hint="eastAsia"/>
          <w:sz w:val="24"/>
          <w:szCs w:val="24"/>
        </w:rPr>
      </w:pPr>
    </w:p>
    <w:p w:rsidR="00AE6AD0" w:rsidRPr="000D3DE9" w:rsidRDefault="001D75EC" w:rsidP="00124FE6">
      <w:pPr>
        <w:pStyle w:val="a3"/>
        <w:spacing w:line="240" w:lineRule="exact"/>
        <w:jc w:val="center"/>
        <w:rPr>
          <w:rFonts w:ascii="微软雅黑" w:eastAsia="微软雅黑" w:hAnsi="微软雅黑" w:cs="宋体"/>
          <w:sz w:val="24"/>
          <w:szCs w:val="24"/>
        </w:rPr>
      </w:pPr>
      <w:r w:rsidRPr="000D3DE9">
        <w:rPr>
          <w:rFonts w:ascii="微软雅黑" w:eastAsia="微软雅黑" w:hAnsi="微软雅黑" w:cs="宋体" w:hint="eastAsia"/>
          <w:sz w:val="24"/>
          <w:szCs w:val="24"/>
        </w:rPr>
        <w:t>法释〔2021〕12号</w:t>
      </w:r>
      <w:bookmarkStart w:id="0" w:name="_GoBack"/>
      <w:bookmarkEnd w:id="0"/>
    </w:p>
    <w:p w:rsidR="00AE6AD0" w:rsidRPr="000D3DE9" w:rsidRDefault="00AE6AD0" w:rsidP="00124FE6">
      <w:pPr>
        <w:pStyle w:val="a3"/>
        <w:spacing w:line="240" w:lineRule="exact"/>
        <w:rPr>
          <w:rFonts w:ascii="微软雅黑" w:eastAsia="微软雅黑" w:hAnsi="微软雅黑" w:cs="宋体"/>
          <w:sz w:val="22"/>
          <w:szCs w:val="22"/>
        </w:rPr>
      </w:pPr>
    </w:p>
    <w:p w:rsidR="00AE6AD0" w:rsidRPr="000D3DE9" w:rsidRDefault="001D75EC" w:rsidP="00124FE6">
      <w:pPr>
        <w:pStyle w:val="a3"/>
        <w:spacing w:line="240" w:lineRule="exact"/>
        <w:ind w:leftChars="300" w:left="630" w:rightChars="300" w:right="630"/>
        <w:rPr>
          <w:rFonts w:ascii="微软雅黑" w:eastAsia="微软雅黑" w:hAnsi="微软雅黑" w:cs="宋体"/>
          <w:sz w:val="22"/>
          <w:szCs w:val="22"/>
        </w:rPr>
      </w:pPr>
      <w:r w:rsidRPr="000D3DE9">
        <w:rPr>
          <w:rFonts w:ascii="微软雅黑" w:eastAsia="微软雅黑" w:hAnsi="微软雅黑" w:cs="宋体" w:hint="eastAsia"/>
          <w:sz w:val="22"/>
          <w:szCs w:val="22"/>
        </w:rPr>
        <w:t>（2021年5月18日最高人民法院审判委员会第1838次会议通过，自2021年8月1日起施行）</w:t>
      </w:r>
    </w:p>
    <w:p w:rsidR="00AE6AD0" w:rsidRPr="00FF6DD1" w:rsidRDefault="00AE6AD0" w:rsidP="00FF6DD1">
      <w:pPr>
        <w:pStyle w:val="a3"/>
        <w:spacing w:line="320" w:lineRule="exact"/>
        <w:rPr>
          <w:rFonts w:ascii="微软雅黑" w:eastAsia="微软雅黑" w:hAnsi="微软雅黑" w:cs="宋体"/>
          <w:sz w:val="24"/>
          <w:szCs w:val="24"/>
        </w:rPr>
      </w:pP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为推进和规范在线诉讼活动，完善在线诉讼规则，依法保障当事人及其他诉讼参与人等诉讼主体的合法权利，确保公正高效审理案件，根据《中华人民共和国刑事诉讼法》《中华人民共和国民事诉讼法》《中华人民共和国行政诉讼法》等相关法律规定，结合人民法院工作实际，制定本规则。</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第一条</w:t>
      </w:r>
      <w:r w:rsidRPr="00FF6DD1">
        <w:rPr>
          <w:rFonts w:ascii="微软雅黑" w:eastAsia="微软雅黑" w:hAnsi="微软雅黑" w:cs="宋体" w:hint="eastAsia"/>
          <w:sz w:val="24"/>
          <w:szCs w:val="24"/>
        </w:rPr>
        <w:t xml:space="preserve">　人民法院、当事人及其他诉讼参与人等可以依托电子诉讼平台（以下简称“诉讼平台”），通过互联网或者专用网络在线完成立案、调解、证据交换、询问、庭审、送达等全部或者部分诉讼环节。</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在线诉讼活动与线下诉讼活动具有同等法律效力。</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第二条</w:t>
      </w:r>
      <w:r w:rsidRPr="00FF6DD1">
        <w:rPr>
          <w:rFonts w:ascii="微软雅黑" w:eastAsia="微软雅黑" w:hAnsi="微软雅黑" w:cs="宋体" w:hint="eastAsia"/>
          <w:sz w:val="24"/>
          <w:szCs w:val="24"/>
        </w:rPr>
        <w:t xml:space="preserve">　人民法院开展在线诉讼应当遵循以下原则：</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（一）公正高效原则。严格依法开展在线诉讼活动，完善审判流程，健全工作机制，加强技术保障，提高司法效率，保障司法公正。</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（二）合法自愿原则。尊重和保障当事人及其他诉讼参与人对诉讼方式的选择权，未经当事人及其他诉讼参与人同意，人民法院不得强制或者变相强制适用在线诉讼。</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（三）权利保障原则。充分保障当事人各项诉讼权利，强化提示、说明、告知义务，不得随意减少诉讼环节和减损当事人诉讼权益。</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四）便民利民原则。优化在线诉讼服务，完善诉讼平台功能，加强信息技术应用，降低当事人诉讼成本，提升纠纷解决效率。统筹兼顾不同群体司法需求，对未成年人、老年人、残障人士等特殊群体加强诉讼引导，提供相应司法便利。</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（五）安全可靠原则。依法维护国家安全，保护国家秘密、商业秘密、个人隐私和个人信息，有效保障在线诉讼数据信息安全。规范技术应用，确保技术中立和平台中立。</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第三条</w:t>
      </w:r>
      <w:r w:rsidRPr="00FF6DD1">
        <w:rPr>
          <w:rFonts w:ascii="微软雅黑" w:eastAsia="微软雅黑" w:hAnsi="微软雅黑" w:cs="宋体" w:hint="eastAsia"/>
          <w:sz w:val="24"/>
          <w:szCs w:val="24"/>
        </w:rPr>
        <w:t xml:space="preserve">　人民法院综合考虑案件情况、当事人意愿和技术条件等因素，可以对以下案件适用在线诉讼：</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（一）民事、行政诉讼案件；</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w:t>
      </w:r>
      <w:proofErr w:type="gramStart"/>
      <w:r w:rsidRPr="00FF6DD1">
        <w:rPr>
          <w:rFonts w:ascii="微软雅黑" w:eastAsia="微软雅黑" w:hAnsi="微软雅黑" w:cs="宋体" w:hint="eastAsia"/>
          <w:sz w:val="24"/>
          <w:szCs w:val="24"/>
        </w:rPr>
        <w:t>刑事速裁程序</w:t>
      </w:r>
      <w:proofErr w:type="gramEnd"/>
      <w:r w:rsidRPr="00FF6DD1">
        <w:rPr>
          <w:rFonts w:ascii="微软雅黑" w:eastAsia="微软雅黑" w:hAnsi="微软雅黑" w:cs="宋体" w:hint="eastAsia"/>
          <w:sz w:val="24"/>
          <w:szCs w:val="24"/>
        </w:rPr>
        <w:t>案件，减刑、假释案件，以及因其他特殊原因不宜线下审理的刑事案件；</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（三）民事特别程序、督促程序、破产程序和非诉执行审查案件；</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（四）民事、行政执行案件和刑事附带民事诉讼执行案件；</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（五）其他适宜采取在线方式审理的案件。</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第四条</w:t>
      </w:r>
      <w:r w:rsidRPr="00FF6DD1">
        <w:rPr>
          <w:rFonts w:ascii="微软雅黑" w:eastAsia="微软雅黑" w:hAnsi="微软雅黑" w:cs="宋体" w:hint="eastAsia"/>
          <w:sz w:val="24"/>
          <w:szCs w:val="24"/>
        </w:rPr>
        <w:t xml:space="preserve">　人民法院开展在线诉讼，应当征得当事人同意，并告知适用在线诉讼的具体环节、主要形式、权利义务、法律后果和操作方法等。</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人民法院应当根据当事人对在线诉讼的相应意思表示，</w:t>
      </w:r>
      <w:proofErr w:type="gramStart"/>
      <w:r w:rsidRPr="00FF6DD1">
        <w:rPr>
          <w:rFonts w:ascii="微软雅黑" w:eastAsia="微软雅黑" w:hAnsi="微软雅黑" w:cs="宋体" w:hint="eastAsia"/>
          <w:sz w:val="24"/>
          <w:szCs w:val="24"/>
        </w:rPr>
        <w:t>作出</w:t>
      </w:r>
      <w:proofErr w:type="gramEnd"/>
      <w:r w:rsidRPr="00FF6DD1">
        <w:rPr>
          <w:rFonts w:ascii="微软雅黑" w:eastAsia="微软雅黑" w:hAnsi="微软雅黑" w:cs="宋体" w:hint="eastAsia"/>
          <w:sz w:val="24"/>
          <w:szCs w:val="24"/>
        </w:rPr>
        <w:t>以下处理：</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（一）当事人主动选择适用在线诉讼的，人民法院可以不再另行征得其同意，相应诉讼环节可以直接在线进行；</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（二）各方当事人均同意适用在线诉讼的，相应诉讼环节可以在线进行；</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（三）部分当事人同意适用在线诉讼，部分当事人不同意的，相应诉讼环节可以采取同意方当事人线上、不同意方当事人线下的方式进行；</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（四）当事人</w:t>
      </w:r>
      <w:proofErr w:type="gramStart"/>
      <w:r w:rsidRPr="00FF6DD1">
        <w:rPr>
          <w:rFonts w:ascii="微软雅黑" w:eastAsia="微软雅黑" w:hAnsi="微软雅黑" w:cs="宋体" w:hint="eastAsia"/>
          <w:sz w:val="24"/>
          <w:szCs w:val="24"/>
        </w:rPr>
        <w:t>仅主动</w:t>
      </w:r>
      <w:proofErr w:type="gramEnd"/>
      <w:r w:rsidRPr="00FF6DD1">
        <w:rPr>
          <w:rFonts w:ascii="微软雅黑" w:eastAsia="微软雅黑" w:hAnsi="微软雅黑" w:cs="宋体" w:hint="eastAsia"/>
          <w:sz w:val="24"/>
          <w:szCs w:val="24"/>
        </w:rPr>
        <w:t>选择或者同意对部分诉讼环节适用在线诉讼的，人民法院不得推定其对其他诉讼环节均同意适用在线诉讼。</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对人民检察院参与的案件适用在线诉讼的，应当征得人民检察院同意。</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第五条</w:t>
      </w:r>
      <w:r w:rsidRPr="00FF6DD1">
        <w:rPr>
          <w:rFonts w:ascii="微软雅黑" w:eastAsia="微软雅黑" w:hAnsi="微软雅黑" w:cs="宋体" w:hint="eastAsia"/>
          <w:sz w:val="24"/>
          <w:szCs w:val="24"/>
        </w:rPr>
        <w:t xml:space="preserve">　在诉讼过程中，如存在当事人欠缺在线诉讼能力、不具备在线诉讼条件或者相应诉讼环节不宜在线办理等情形之一的，人民法院应当将相应诉讼环节转为线下进行。</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lastRenderedPageBreak/>
        <w:t>当事人已同意对相应诉讼环节适用在线诉讼，但诉讼过程中又反悔的，应当在开展相应诉讼活动前的合理期限内提出。经审查，人民法院认为不存在故意拖延诉讼等不当情形的，相应诉讼环节可以转为线下进行。</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在调解、证据交换、询问、听证、庭审等诉讼环节中，一方当事人要求其他当事人及诉讼参与人在线下参与诉讼的，应当提出具体理由。经审查，人民法院认为案件存在案情疑难复杂、需证人现场作证、有必要线下举证质证、陈述辩论等情形之一的，相应诉讼环节可以转为线下进行。</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第六条</w:t>
      </w:r>
      <w:r w:rsidRPr="00FF6DD1">
        <w:rPr>
          <w:rFonts w:ascii="微软雅黑" w:eastAsia="微软雅黑" w:hAnsi="微软雅黑" w:cs="宋体" w:hint="eastAsia"/>
          <w:sz w:val="24"/>
          <w:szCs w:val="24"/>
        </w:rPr>
        <w:t xml:space="preserve">　当事人已同意适用在线诉讼，但无正当理由不参与在线诉讼活动或者不</w:t>
      </w:r>
      <w:proofErr w:type="gramStart"/>
      <w:r w:rsidRPr="00FF6DD1">
        <w:rPr>
          <w:rFonts w:ascii="微软雅黑" w:eastAsia="微软雅黑" w:hAnsi="微软雅黑" w:cs="宋体" w:hint="eastAsia"/>
          <w:sz w:val="24"/>
          <w:szCs w:val="24"/>
        </w:rPr>
        <w:t>作出</w:t>
      </w:r>
      <w:proofErr w:type="gramEnd"/>
      <w:r w:rsidRPr="00FF6DD1">
        <w:rPr>
          <w:rFonts w:ascii="微软雅黑" w:eastAsia="微软雅黑" w:hAnsi="微软雅黑" w:cs="宋体" w:hint="eastAsia"/>
          <w:sz w:val="24"/>
          <w:szCs w:val="24"/>
        </w:rPr>
        <w:t>相应诉讼行为，也未在合理期限内申请提出转为线下进行的，应当依照法律和司法解释的相关规定承担相应法律后果。</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第七条</w:t>
      </w:r>
      <w:r w:rsidRPr="00FF6DD1">
        <w:rPr>
          <w:rFonts w:ascii="微软雅黑" w:eastAsia="微软雅黑" w:hAnsi="微软雅黑" w:cs="宋体" w:hint="eastAsia"/>
          <w:sz w:val="24"/>
          <w:szCs w:val="24"/>
        </w:rPr>
        <w:t xml:space="preserve">　参与在线诉讼的诉讼主体应当先行在诉讼平台完成实名注册。人民法院应当通过证件证照在线比对、身份认证平台认证等方式，核实诉讼主体的实名手机号码、居民身份证件号码、护照号码、统一社会信用代码等信息，确认诉讼主体身份真实性。诉讼主体在线完成身份认证后，取得登录诉讼平台的专用账号。</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参与在线诉讼的诉讼主体应当妥善保管诉讼平台专用账号和密码。除有证据证明存在账号被盗用或者系统错误的情形外，使用专用账号登录诉讼平台所</w:t>
      </w:r>
      <w:proofErr w:type="gramStart"/>
      <w:r w:rsidRPr="00FF6DD1">
        <w:rPr>
          <w:rFonts w:ascii="微软雅黑" w:eastAsia="微软雅黑" w:hAnsi="微软雅黑" w:cs="宋体" w:hint="eastAsia"/>
          <w:sz w:val="24"/>
          <w:szCs w:val="24"/>
        </w:rPr>
        <w:t>作出</w:t>
      </w:r>
      <w:proofErr w:type="gramEnd"/>
      <w:r w:rsidRPr="00FF6DD1">
        <w:rPr>
          <w:rFonts w:ascii="微软雅黑" w:eastAsia="微软雅黑" w:hAnsi="微软雅黑" w:cs="宋体" w:hint="eastAsia"/>
          <w:sz w:val="24"/>
          <w:szCs w:val="24"/>
        </w:rPr>
        <w:t>的行为，视为被认证人本人行为。</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人民法院在线开展调解、证据交换、庭审等诉讼活动，应当再次验证诉讼主体的身份；确有必要的，应当在线下进一步核实身份。</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第八条</w:t>
      </w:r>
      <w:r w:rsidRPr="00FF6DD1">
        <w:rPr>
          <w:rFonts w:ascii="微软雅黑" w:eastAsia="微软雅黑" w:hAnsi="微软雅黑" w:cs="宋体" w:hint="eastAsia"/>
          <w:sz w:val="24"/>
          <w:szCs w:val="24"/>
        </w:rPr>
        <w:t xml:space="preserve">　人民法院、特邀调解组织、特邀调解员可以通过诉讼平台、人民法院调解平台等开展在线调解活动。在线调解应当按照法律和司法解释相关规定进行，依法保护国家秘密、商业秘密、个人隐私和其他不宜公开的信息。</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第九条</w:t>
      </w:r>
      <w:r w:rsidRPr="00FF6DD1">
        <w:rPr>
          <w:rFonts w:ascii="微软雅黑" w:eastAsia="微软雅黑" w:hAnsi="微软雅黑" w:cs="宋体" w:hint="eastAsia"/>
          <w:sz w:val="24"/>
          <w:szCs w:val="24"/>
        </w:rPr>
        <w:t xml:space="preserve">　当事人采取在线方式提交起诉材料的，人民法院应当在收到材料后的法定期限内，在线</w:t>
      </w:r>
      <w:proofErr w:type="gramStart"/>
      <w:r w:rsidRPr="00FF6DD1">
        <w:rPr>
          <w:rFonts w:ascii="微软雅黑" w:eastAsia="微软雅黑" w:hAnsi="微软雅黑" w:cs="宋体" w:hint="eastAsia"/>
          <w:sz w:val="24"/>
          <w:szCs w:val="24"/>
        </w:rPr>
        <w:t>作出</w:t>
      </w:r>
      <w:proofErr w:type="gramEnd"/>
      <w:r w:rsidRPr="00FF6DD1">
        <w:rPr>
          <w:rFonts w:ascii="微软雅黑" w:eastAsia="微软雅黑" w:hAnsi="微软雅黑" w:cs="宋体" w:hint="eastAsia"/>
          <w:sz w:val="24"/>
          <w:szCs w:val="24"/>
        </w:rPr>
        <w:t>以下处理：</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（一）符合起诉条件的，登记立案并送达案件受理通知书、交纳诉讼费用通知书、举证通知书等诉讼文书；</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（二）提交材料不符合要求的，及时通知其补正，并一次性告知补正内容和期限，案件受理时间自收到补正材料后次日重新起算；</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（三）不符合起诉条件或者起诉材料经</w:t>
      </w:r>
      <w:proofErr w:type="gramStart"/>
      <w:r w:rsidRPr="00FF6DD1">
        <w:rPr>
          <w:rFonts w:ascii="微软雅黑" w:eastAsia="微软雅黑" w:hAnsi="微软雅黑" w:cs="宋体" w:hint="eastAsia"/>
          <w:sz w:val="24"/>
          <w:szCs w:val="24"/>
        </w:rPr>
        <w:t>补正仍</w:t>
      </w:r>
      <w:proofErr w:type="gramEnd"/>
      <w:r w:rsidRPr="00FF6DD1">
        <w:rPr>
          <w:rFonts w:ascii="微软雅黑" w:eastAsia="微软雅黑" w:hAnsi="微软雅黑" w:cs="宋体" w:hint="eastAsia"/>
          <w:sz w:val="24"/>
          <w:szCs w:val="24"/>
        </w:rPr>
        <w:t>不符合要求，原告坚持起诉的，依法裁定不予受理或者不予立案；</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当事人已在线提交符合要求的起诉状等材料的，人民法院不得要求当事人再提供纸质件。</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上诉、申请再审、特别程序、执行等案件的在线受理规则，参照本条第一款、第二款规定办理。</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第十条</w:t>
      </w:r>
      <w:r w:rsidRPr="00FF6DD1">
        <w:rPr>
          <w:rFonts w:ascii="微软雅黑" w:eastAsia="微软雅黑" w:hAnsi="微软雅黑" w:cs="宋体" w:hint="eastAsia"/>
          <w:sz w:val="24"/>
          <w:szCs w:val="24"/>
        </w:rPr>
        <w:t xml:space="preserve">　案件适用在线诉讼的，人民法院应当通知被告、被上诉人或者其他诉讼参与人，询问其是否同意以在线方式参与诉讼。被通知人同意采用在线方式的，应当在收到通知的三日内通过诉讼平台验证身份、关联案件，并在后续诉讼活动中通过诉讼平台了解案件信息、接收和提交诉讼材料，以及实施其他诉讼行为。</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被通知人未明确表示同意采用在线方式，且未在人民法院指定期限内注册登录诉讼平台的，针对被通知人的相关诉讼活动在线下进行。</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第十一条</w:t>
      </w:r>
      <w:r w:rsidRPr="00FF6DD1">
        <w:rPr>
          <w:rFonts w:ascii="微软雅黑" w:eastAsia="微软雅黑" w:hAnsi="微软雅黑" w:cs="宋体" w:hint="eastAsia"/>
          <w:sz w:val="24"/>
          <w:szCs w:val="24"/>
        </w:rPr>
        <w:t xml:space="preserve">　当事人可以在诉讼平台直接填写录入起诉状、答辩状、反诉状、代理意见等诉讼文书材料。</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当事人可以通过扫描、翻拍、转录等方式，将线下的诉讼文书材料或者证据材料作电子化处理后上传至诉讼平台。诉讼材料为电子数据，且诉讼平台与存储该电子数据的平台已实现对接的，当事人可以将电子数据直接提交至诉讼平台。</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当事人提交电子化材料确有困难的，人民法院可以辅助当事人将线下材料作电子化处理后导入诉讼平台。</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第十二条</w:t>
      </w:r>
      <w:r w:rsidRPr="00FF6DD1">
        <w:rPr>
          <w:rFonts w:ascii="微软雅黑" w:eastAsia="微软雅黑" w:hAnsi="微软雅黑" w:cs="宋体" w:hint="eastAsia"/>
          <w:sz w:val="24"/>
          <w:szCs w:val="24"/>
        </w:rPr>
        <w:t xml:space="preserve">　当事人提交的电子化材料，经人民法院审核通过后，可以直接在诉讼中使用。诉讼中存在下列情形之一的，人民法院应当要求当事人提供原件、原物：</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（一）对方当事人认为电子化材料与原件、原物不一致，并提出合理理由和依据的；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（二）电子化材料呈现不完整、内容不清晰、格式不规范的；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lastRenderedPageBreak/>
        <w:t>（三）人民法院卷宗、档案管理相关规定要求提供原件、原物的；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（四）人民法院认为有必要提交原件、原物的。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第十三条</w:t>
      </w:r>
      <w:r w:rsidRPr="00FF6DD1">
        <w:rPr>
          <w:rFonts w:ascii="微软雅黑" w:eastAsia="微软雅黑" w:hAnsi="微软雅黑" w:cs="宋体" w:hint="eastAsia"/>
          <w:sz w:val="24"/>
          <w:szCs w:val="24"/>
        </w:rPr>
        <w:t xml:space="preserve">　当事人提交的电子化材料，符合下列情形之一的，人民法院可以认定符合原件、原物形式要求：</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（一）对方当事人对电子化材料与原件、原物的一致性未提出异议的；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（二）电子化材料形成过程已经过公证机构公证的；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（三）电子化材料已在之前诉讼中提交并经人民法院确认的；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（四）电子化材料已通过在线或者线下方式与原件、原物比对一致的；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（五）有其他证据证明电子化材料与原件、原物一致的。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第十四条</w:t>
      </w:r>
      <w:r w:rsidRPr="00FF6DD1">
        <w:rPr>
          <w:rFonts w:ascii="微软雅黑" w:eastAsia="微软雅黑" w:hAnsi="微软雅黑" w:cs="宋体" w:hint="eastAsia"/>
          <w:sz w:val="24"/>
          <w:szCs w:val="24"/>
        </w:rPr>
        <w:t xml:space="preserve">　人民法院根据当事人选择和案件情况，可以组织当事人开展在线证据交换，通过同步或者非同步方式在线举证、质证。</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各方当事人选择同步在线交换证据的，应当在人民法院指定的时间登录诉讼平台，通过在线视频或者其他方式，对已经导入诉讼平台的证据材料或者线下送达的证据材料副本，集中发表质证意见。</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各方当事人选择非同步在线交换证据的，应当在人民法院确定的合理期限内，分别登录诉讼平台，查看已经导入诉讼平台的证据材料，并发表质证意见。</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各方当事人均同意在线证据交换，但对具体方式无法达成一致意见的，适用同步在线证据交换。</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第十五条</w:t>
      </w:r>
      <w:r w:rsidRPr="00FF6DD1">
        <w:rPr>
          <w:rFonts w:ascii="微软雅黑" w:eastAsia="微软雅黑" w:hAnsi="微软雅黑" w:cs="宋体" w:hint="eastAsia"/>
          <w:sz w:val="24"/>
          <w:szCs w:val="24"/>
        </w:rPr>
        <w:t xml:space="preserve">　当事人作为证据提交的电子化材料和电子数据，人民法院应当按照法律和司法解释的相关规定，经当事人举证质证后，依法认定其真实性、合法性和关联性。未经人民法院查证属实的证据，不得作为认定案件事实的根据。</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第十六条</w:t>
      </w:r>
      <w:r w:rsidRPr="00FF6DD1">
        <w:rPr>
          <w:rFonts w:ascii="微软雅黑" w:eastAsia="微软雅黑" w:hAnsi="微软雅黑" w:cs="宋体" w:hint="eastAsia"/>
          <w:sz w:val="24"/>
          <w:szCs w:val="24"/>
        </w:rPr>
        <w:t xml:space="preserve">　当事人作为证据提交的电子数据系通过区块链技术存储，并经技术核验一致的，人民法院可以认定该电子数据上链后未经篡改，但有相反证据足以推翻的除外。</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第十七条</w:t>
      </w:r>
      <w:r w:rsidRPr="00FF6DD1">
        <w:rPr>
          <w:rFonts w:ascii="微软雅黑" w:eastAsia="微软雅黑" w:hAnsi="微软雅黑" w:cs="宋体" w:hint="eastAsia"/>
          <w:sz w:val="24"/>
          <w:szCs w:val="24"/>
        </w:rPr>
        <w:t xml:space="preserve">　当事人对区块链技术存储的电子数据上链后的真实性提出异议，并有合理理由的，人民法院应当结合下列因素</w:t>
      </w:r>
      <w:proofErr w:type="gramStart"/>
      <w:r w:rsidRPr="00FF6DD1">
        <w:rPr>
          <w:rFonts w:ascii="微软雅黑" w:eastAsia="微软雅黑" w:hAnsi="微软雅黑" w:cs="宋体" w:hint="eastAsia"/>
          <w:sz w:val="24"/>
          <w:szCs w:val="24"/>
        </w:rPr>
        <w:t>作出</w:t>
      </w:r>
      <w:proofErr w:type="gramEnd"/>
      <w:r w:rsidRPr="00FF6DD1">
        <w:rPr>
          <w:rFonts w:ascii="微软雅黑" w:eastAsia="微软雅黑" w:hAnsi="微软雅黑" w:cs="宋体" w:hint="eastAsia"/>
          <w:sz w:val="24"/>
          <w:szCs w:val="24"/>
        </w:rPr>
        <w:t>判断：</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（一）存证平台是否符合国家有关部门关于提供区块链存证服务的相关规定；</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（二）当事人与存证平台是否存在利害关系，并利用技术手段不当干预取证、存证过程；</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（三）存证平台的信息系统是否符合清洁性、安全性、可靠性、可用性的国家标准或者行业标准；</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（四）存证技术和过程是否符合相关国家标准或者行业标准中关于系统环境、技术安全、加密方式、数据传输、信息验证等方面的要求。</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第十八条</w:t>
      </w:r>
      <w:r w:rsidRPr="00FF6DD1">
        <w:rPr>
          <w:rFonts w:ascii="微软雅黑" w:eastAsia="微软雅黑" w:hAnsi="微软雅黑" w:cs="宋体" w:hint="eastAsia"/>
          <w:sz w:val="24"/>
          <w:szCs w:val="24"/>
        </w:rPr>
        <w:t xml:space="preserve">　当事人提出电子数据上链存储前已不具备真实性，并提供证据证明或者说明理由的，人民法院应当予以审查。</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人民法院根据案件情况，可以要求提交区块链技术存储电子数据的一方当事人，提供证据证明上链存储前数据的真实性，并结合上链存储前数据的具体来源、生成机制、存储过程、公证机构公证、第三方见证、关联印证数据等情况</w:t>
      </w:r>
      <w:proofErr w:type="gramStart"/>
      <w:r w:rsidRPr="00FF6DD1">
        <w:rPr>
          <w:rFonts w:ascii="微软雅黑" w:eastAsia="微软雅黑" w:hAnsi="微软雅黑" w:cs="宋体" w:hint="eastAsia"/>
          <w:sz w:val="24"/>
          <w:szCs w:val="24"/>
        </w:rPr>
        <w:t>作出</w:t>
      </w:r>
      <w:proofErr w:type="gramEnd"/>
      <w:r w:rsidRPr="00FF6DD1">
        <w:rPr>
          <w:rFonts w:ascii="微软雅黑" w:eastAsia="微软雅黑" w:hAnsi="微软雅黑" w:cs="宋体" w:hint="eastAsia"/>
          <w:sz w:val="24"/>
          <w:szCs w:val="24"/>
        </w:rPr>
        <w:t>综合判断。当事人不能提供证据证明或者</w:t>
      </w:r>
      <w:proofErr w:type="gramStart"/>
      <w:r w:rsidRPr="00FF6DD1">
        <w:rPr>
          <w:rFonts w:ascii="微软雅黑" w:eastAsia="微软雅黑" w:hAnsi="微软雅黑" w:cs="宋体" w:hint="eastAsia"/>
          <w:sz w:val="24"/>
          <w:szCs w:val="24"/>
        </w:rPr>
        <w:t>作出</w:t>
      </w:r>
      <w:proofErr w:type="gramEnd"/>
      <w:r w:rsidRPr="00FF6DD1">
        <w:rPr>
          <w:rFonts w:ascii="微软雅黑" w:eastAsia="微软雅黑" w:hAnsi="微软雅黑" w:cs="宋体" w:hint="eastAsia"/>
          <w:sz w:val="24"/>
          <w:szCs w:val="24"/>
        </w:rPr>
        <w:t>合理说明，该电子数据也无法与其他证据相互印证的，人民法院不予确认其真实性。</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第十九条</w:t>
      </w:r>
      <w:r w:rsidRPr="00FF6DD1">
        <w:rPr>
          <w:rFonts w:ascii="微软雅黑" w:eastAsia="微软雅黑" w:hAnsi="微软雅黑" w:cs="宋体" w:hint="eastAsia"/>
          <w:sz w:val="24"/>
          <w:szCs w:val="24"/>
        </w:rPr>
        <w:t xml:space="preserve">　当事人可以申请具有专门知识的人就区块链技术存储电子数据相关技术问题提出意见。人民法院可以根据当事人申请或者依职权，委托</w:t>
      </w:r>
      <w:proofErr w:type="gramStart"/>
      <w:r w:rsidRPr="00FF6DD1">
        <w:rPr>
          <w:rFonts w:ascii="微软雅黑" w:eastAsia="微软雅黑" w:hAnsi="微软雅黑" w:cs="宋体" w:hint="eastAsia"/>
          <w:sz w:val="24"/>
          <w:szCs w:val="24"/>
        </w:rPr>
        <w:t>鉴定区</w:t>
      </w:r>
      <w:proofErr w:type="gramEnd"/>
      <w:r w:rsidRPr="00FF6DD1">
        <w:rPr>
          <w:rFonts w:ascii="微软雅黑" w:eastAsia="微软雅黑" w:hAnsi="微软雅黑" w:cs="宋体" w:hint="eastAsia"/>
          <w:sz w:val="24"/>
          <w:szCs w:val="24"/>
        </w:rPr>
        <w:t>块链技术存储电子数据的真实性，或者调取其他相关证据进行核对。</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第二十条</w:t>
      </w:r>
      <w:r w:rsidRPr="00FF6DD1">
        <w:rPr>
          <w:rFonts w:ascii="微软雅黑" w:eastAsia="微软雅黑" w:hAnsi="微软雅黑" w:cs="宋体" w:hint="eastAsia"/>
          <w:sz w:val="24"/>
          <w:szCs w:val="24"/>
        </w:rPr>
        <w:t xml:space="preserve">　经各方当事人同意，人民法院可以指定当事人在一定期限内，分别登录诉讼平台，以非同步的方式开展调解、证据交换、调查询问、庭审等诉讼活动。</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适用小额诉讼程序或者民事、行政简易程序审理的案件，同时符合下列情形的，人民法院和当事人可以在指定期限内，按照庭审程序环节分别录制参与庭审视频并上传至诉讼平台，非同步完成庭审活动：</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（一）各方当事人同时在线参与庭审确有困难；</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（二）一方当事人提出书面申请，各方当事人均表示同意；</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（三）案件经过在线证据交换或者调查询问，各方当事人对案件主要事实和证据不存在争议。</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第二十一条</w:t>
      </w:r>
      <w:r w:rsidRPr="00FF6DD1">
        <w:rPr>
          <w:rFonts w:ascii="微软雅黑" w:eastAsia="微软雅黑" w:hAnsi="微软雅黑" w:cs="宋体" w:hint="eastAsia"/>
          <w:sz w:val="24"/>
          <w:szCs w:val="24"/>
        </w:rPr>
        <w:t xml:space="preserve">　人民法院开庭审理的案件，应当根据当事人意愿、案件情况、社会影响、技术条件等因素，决定是否采取视频方式在线庭审，但具有下列情形之一的，不得适用在线庭审：</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lastRenderedPageBreak/>
        <w:t>（一）各方当事人均明确表示不同意，或者一方当事人表示不同意且有正当理由的；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（二）各方当事人均不具备参与在线庭审的技术条件和能力的；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（三）需要通过庭审现场查明身份、核对原件、查验实物的；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（四）案件疑难复杂、证据繁多，适用在线庭审不利于查明事实和适用法律的；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（五）案件涉及国家安全、国家秘密的；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（六）案件具有重大社会影响，受到广泛关注的；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（七）人民法院认为存在其他不宜适用在线庭审情形的。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采取在线庭审方式审理的案件，审理过程中发现存在上述情形之一的，人民法院应当及时转为线下庭审。已完成的在线庭审活动具有法律效力。</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在线询问的适用范围和条件参照在线庭审的相关规则。</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第二十二条</w:t>
      </w:r>
      <w:r w:rsidRPr="00FF6DD1">
        <w:rPr>
          <w:rFonts w:ascii="微软雅黑" w:eastAsia="微软雅黑" w:hAnsi="微软雅黑" w:cs="宋体" w:hint="eastAsia"/>
          <w:sz w:val="24"/>
          <w:szCs w:val="24"/>
        </w:rPr>
        <w:t xml:space="preserve">　适用在线庭审的案件，应当按照法律和司法解释的相关规定开展庭前准备、法庭调查、法庭辩论等庭审活动，保障当事人申请回避、举证、质证、陈述、辩论等诉讼权利。</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第二十三条</w:t>
      </w:r>
      <w:r w:rsidRPr="00FF6DD1">
        <w:rPr>
          <w:rFonts w:ascii="微软雅黑" w:eastAsia="微软雅黑" w:hAnsi="微软雅黑" w:cs="宋体" w:hint="eastAsia"/>
          <w:sz w:val="24"/>
          <w:szCs w:val="24"/>
        </w:rPr>
        <w:t xml:space="preserve">　需要公告送达的案件，人民法院可以在公告中</w:t>
      </w:r>
      <w:proofErr w:type="gramStart"/>
      <w:r w:rsidRPr="00FF6DD1">
        <w:rPr>
          <w:rFonts w:ascii="微软雅黑" w:eastAsia="微软雅黑" w:hAnsi="微软雅黑" w:cs="宋体" w:hint="eastAsia"/>
          <w:sz w:val="24"/>
          <w:szCs w:val="24"/>
        </w:rPr>
        <w:t>明确线</w:t>
      </w:r>
      <w:proofErr w:type="gramEnd"/>
      <w:r w:rsidRPr="00FF6DD1">
        <w:rPr>
          <w:rFonts w:ascii="微软雅黑" w:eastAsia="微软雅黑" w:hAnsi="微软雅黑" w:cs="宋体" w:hint="eastAsia"/>
          <w:sz w:val="24"/>
          <w:szCs w:val="24"/>
        </w:rPr>
        <w:t>上或者线下参与庭审的具体方式，告知当事人选择在线庭审的权利。被公告方当事人未在开庭前向人民法院表示同意在线庭审的，被公告方当事人适用线下庭审。其他同意适用在线庭审的当事人，可以在线参与庭审。</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第二十四条</w:t>
      </w:r>
      <w:r w:rsidRPr="00FF6DD1">
        <w:rPr>
          <w:rFonts w:ascii="微软雅黑" w:eastAsia="微软雅黑" w:hAnsi="微软雅黑" w:cs="宋体" w:hint="eastAsia"/>
          <w:sz w:val="24"/>
          <w:szCs w:val="24"/>
        </w:rPr>
        <w:t xml:space="preserve">　在线开展庭审活动，人民法院应当设置环境要素齐全的在线法庭。在线法庭应当保持国徽在显著位置，审判人员及席位名称等在视频画面合理区域。因存在特殊情形，确需在在线法庭之外的其他场所组织在线庭审的，应当报请本院院长同意。</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出庭人员参加在线庭审，应当选择安静、无干扰、光线适宜、网络信号良好、相对封闭的场所，不得在可能影响庭审音频视频效果或者有损庭审严肃性的场所参加庭审。必要时，人民法院可以要求出庭人员到指定场所参加在线庭审。</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第二十五条</w:t>
      </w:r>
      <w:r w:rsidRPr="00FF6DD1">
        <w:rPr>
          <w:rFonts w:ascii="微软雅黑" w:eastAsia="微软雅黑" w:hAnsi="微软雅黑" w:cs="宋体" w:hint="eastAsia"/>
          <w:sz w:val="24"/>
          <w:szCs w:val="24"/>
        </w:rPr>
        <w:t xml:space="preserve">　出庭人员参加在线庭审应当尊重司法礼仪，遵守法庭纪律。人民法院根据在线庭审的特点，适用《中华人民共和国人民法院法庭规则》相关规定。</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除确属网络故障、设备损坏、电力中断或者不可抗力等原因外，当事人无正当理由不参加在线庭审，视为“拒不到庭”；在庭审中擅自退出，经提示、警告后仍不改正的，视为“中途退庭”，分别按照相关法律和司法解释的规定处理。</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第二十六条</w:t>
      </w:r>
      <w:r w:rsidRPr="00FF6DD1">
        <w:rPr>
          <w:rFonts w:ascii="微软雅黑" w:eastAsia="微软雅黑" w:hAnsi="微软雅黑" w:cs="宋体" w:hint="eastAsia"/>
          <w:sz w:val="24"/>
          <w:szCs w:val="24"/>
        </w:rPr>
        <w:t xml:space="preserve">　证人通过在线方式出庭的，人民法院应当通过指定在线出庭场所、设置在线作证室等方式，保证其不旁听案件审理和不受他人干扰。当事人对证人在线出庭提出异议且有合理理由的，或者人民法院认为确有必要的，应当要求证人线下出庭作证。</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鉴定人、勘验人、具有专门知识的人在线出庭的，参照前款规定执行。</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第二十七条</w:t>
      </w:r>
      <w:r w:rsidRPr="00FF6DD1">
        <w:rPr>
          <w:rFonts w:ascii="微软雅黑" w:eastAsia="微软雅黑" w:hAnsi="微软雅黑" w:cs="宋体" w:hint="eastAsia"/>
          <w:sz w:val="24"/>
          <w:szCs w:val="24"/>
        </w:rPr>
        <w:t xml:space="preserve">　适用在线庭审的案件，应当按照法律和司法解释的相关规定公开庭审活动。</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对涉及国家安全、国家秘密、个人隐私的案件，庭审过程不得在互联网上公开。对涉及未成年人、商业秘密、离婚等民事案件，当事人申请不公开审理的，在线庭审过程可以不在互联网上公开。</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未经人民法院同意，任何人不得违法违规录制、截取、传播涉及在线庭审过程的音频视频、图文资料。</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第二十八条</w:t>
      </w:r>
      <w:r w:rsidRPr="00FF6DD1">
        <w:rPr>
          <w:rFonts w:ascii="微软雅黑" w:eastAsia="微软雅黑" w:hAnsi="微软雅黑" w:cs="宋体" w:hint="eastAsia"/>
          <w:sz w:val="24"/>
          <w:szCs w:val="24"/>
        </w:rPr>
        <w:t xml:space="preserve">　在线诉讼参与人故意违反本规则第八条、第二十四条、第二十五条、第二十六条、第二十七条的规定，实施妨害在线诉讼秩序行为的，人民法院可以根据法律和司法解释关于妨害诉讼的相关规定</w:t>
      </w:r>
      <w:proofErr w:type="gramStart"/>
      <w:r w:rsidRPr="00FF6DD1">
        <w:rPr>
          <w:rFonts w:ascii="微软雅黑" w:eastAsia="微软雅黑" w:hAnsi="微软雅黑" w:cs="宋体" w:hint="eastAsia"/>
          <w:sz w:val="24"/>
          <w:szCs w:val="24"/>
        </w:rPr>
        <w:t>作出</w:t>
      </w:r>
      <w:proofErr w:type="gramEnd"/>
      <w:r w:rsidRPr="00FF6DD1">
        <w:rPr>
          <w:rFonts w:ascii="微软雅黑" w:eastAsia="微软雅黑" w:hAnsi="微软雅黑" w:cs="宋体" w:hint="eastAsia"/>
          <w:sz w:val="24"/>
          <w:szCs w:val="24"/>
        </w:rPr>
        <w:t>处理。</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第二十九条</w:t>
      </w:r>
      <w:r w:rsidRPr="00FF6DD1">
        <w:rPr>
          <w:rFonts w:ascii="微软雅黑" w:eastAsia="微软雅黑" w:hAnsi="微软雅黑" w:cs="宋体" w:hint="eastAsia"/>
          <w:sz w:val="24"/>
          <w:szCs w:val="24"/>
        </w:rPr>
        <w:t xml:space="preserve">　经受送达人同意，人民法院可以通过送达平台，向受送达人的电子邮箱、即时通讯账号、诉讼平台专用账号等电子地址，按照法律和司法解释的相关规定送达诉讼文书和证据材料。</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具备下列情形之一的，人民法院可以确定受送达人同意电子送达：</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（一）受送达人明确表示同意的；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（二）受送达人在诉讼前对适用电子送达已</w:t>
      </w:r>
      <w:proofErr w:type="gramStart"/>
      <w:r w:rsidRPr="00FF6DD1">
        <w:rPr>
          <w:rFonts w:ascii="微软雅黑" w:eastAsia="微软雅黑" w:hAnsi="微软雅黑" w:cs="宋体" w:hint="eastAsia"/>
          <w:sz w:val="24"/>
          <w:szCs w:val="24"/>
        </w:rPr>
        <w:t>作出</w:t>
      </w:r>
      <w:proofErr w:type="gramEnd"/>
      <w:r w:rsidRPr="00FF6DD1">
        <w:rPr>
          <w:rFonts w:ascii="微软雅黑" w:eastAsia="微软雅黑" w:hAnsi="微软雅黑" w:cs="宋体" w:hint="eastAsia"/>
          <w:sz w:val="24"/>
          <w:szCs w:val="24"/>
        </w:rPr>
        <w:t>约定或者承诺的；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（三）受送达人在提交的起诉状、上诉状、申请书、答辩状中主动提供用于接收送达的电子地址的；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（四）受送达人通过回复收悉、参加诉讼等方式接受已经完成的电子送达，并且未明确表示不同意电子送达的。</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lastRenderedPageBreak/>
        <w:t>第三十条</w:t>
      </w:r>
      <w:r w:rsidRPr="00FF6DD1">
        <w:rPr>
          <w:rFonts w:ascii="微软雅黑" w:eastAsia="微软雅黑" w:hAnsi="微软雅黑" w:cs="宋体" w:hint="eastAsia"/>
          <w:sz w:val="24"/>
          <w:szCs w:val="24"/>
        </w:rPr>
        <w:t xml:space="preserve">　人民法院可以通过电话确认、诉讼平台在线确认、线下发送电子送达确认书等方式，确认受送达人是否同意电子送达，以及受送达人接收电子送达的具体方式和地址，并告知电子送达的适用范围、效力、送达地址变更方式以及其他需告知的送达事项。</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第三十一条</w:t>
      </w:r>
      <w:r w:rsidRPr="00FF6DD1">
        <w:rPr>
          <w:rFonts w:ascii="微软雅黑" w:eastAsia="微软雅黑" w:hAnsi="微软雅黑" w:cs="宋体" w:hint="eastAsia"/>
          <w:sz w:val="24"/>
          <w:szCs w:val="24"/>
        </w:rPr>
        <w:t xml:space="preserve">　人民法院向受送达人主动提供或者确认的电子地址送达的，送达信息到达电子地址所在系统时，即为送达。</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受送达人未提供或者未确认有效电子送达地址，人民法院向能够确认为受送达人本人的电子地址送达的，根据下列情形确定送达是否生效：</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（一）受送达人回复已收悉，或者根据送达内容已</w:t>
      </w:r>
      <w:proofErr w:type="gramStart"/>
      <w:r w:rsidRPr="00FF6DD1">
        <w:rPr>
          <w:rFonts w:ascii="微软雅黑" w:eastAsia="微软雅黑" w:hAnsi="微软雅黑" w:cs="宋体" w:hint="eastAsia"/>
          <w:sz w:val="24"/>
          <w:szCs w:val="24"/>
        </w:rPr>
        <w:t>作出</w:t>
      </w:r>
      <w:proofErr w:type="gramEnd"/>
      <w:r w:rsidRPr="00FF6DD1">
        <w:rPr>
          <w:rFonts w:ascii="微软雅黑" w:eastAsia="微软雅黑" w:hAnsi="微软雅黑" w:cs="宋体" w:hint="eastAsia"/>
          <w:sz w:val="24"/>
          <w:szCs w:val="24"/>
        </w:rPr>
        <w:t>相应诉讼行为的，即为完成有效送达；</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（二）受送达人的电子地址所在系统反馈受送达人已阅知，或者有其他证据可以</w:t>
      </w:r>
      <w:proofErr w:type="gramStart"/>
      <w:r w:rsidRPr="00FF6DD1">
        <w:rPr>
          <w:rFonts w:ascii="微软雅黑" w:eastAsia="微软雅黑" w:hAnsi="微软雅黑" w:cs="宋体" w:hint="eastAsia"/>
          <w:sz w:val="24"/>
          <w:szCs w:val="24"/>
        </w:rPr>
        <w:t>证明受</w:t>
      </w:r>
      <w:proofErr w:type="gramEnd"/>
      <w:r w:rsidRPr="00FF6DD1">
        <w:rPr>
          <w:rFonts w:ascii="微软雅黑" w:eastAsia="微软雅黑" w:hAnsi="微软雅黑" w:cs="宋体" w:hint="eastAsia"/>
          <w:sz w:val="24"/>
          <w:szCs w:val="24"/>
        </w:rPr>
        <w:t>送达人已经收悉的，推定完成有效送达，但受送达人能够证明存在系统错误、送达地址非本人使用或者非本人阅知等未收悉送达内容的情形除外。</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人民法院开展电子送达，应当在系统中全程留痕，并制作电子送达凭证。电子送达凭证具有送达回证效力。</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对同一内容的送达材料采取多种电子方式</w:t>
      </w:r>
      <w:proofErr w:type="gramStart"/>
      <w:r w:rsidRPr="00FF6DD1">
        <w:rPr>
          <w:rFonts w:ascii="微软雅黑" w:eastAsia="微软雅黑" w:hAnsi="微软雅黑" w:cs="宋体" w:hint="eastAsia"/>
          <w:sz w:val="24"/>
          <w:szCs w:val="24"/>
        </w:rPr>
        <w:t>发送受</w:t>
      </w:r>
      <w:proofErr w:type="gramEnd"/>
      <w:r w:rsidRPr="00FF6DD1">
        <w:rPr>
          <w:rFonts w:ascii="微软雅黑" w:eastAsia="微软雅黑" w:hAnsi="微软雅黑" w:cs="宋体" w:hint="eastAsia"/>
          <w:sz w:val="24"/>
          <w:szCs w:val="24"/>
        </w:rPr>
        <w:t>送达人的，以最先完成的有效送达时间作为送达生效时间。</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第三十二条</w:t>
      </w:r>
      <w:r w:rsidRPr="00FF6DD1">
        <w:rPr>
          <w:rFonts w:ascii="微软雅黑" w:eastAsia="微软雅黑" w:hAnsi="微软雅黑" w:cs="宋体" w:hint="eastAsia"/>
          <w:sz w:val="24"/>
          <w:szCs w:val="24"/>
        </w:rPr>
        <w:t xml:space="preserve">　人民法院适用电子送达，可以同步通过短信、即时通讯工具、诉讼平台提示等方式，通知受送达人查阅、接收、下载相关送达材料。</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第三十三条</w:t>
      </w:r>
      <w:r w:rsidRPr="00FF6DD1">
        <w:rPr>
          <w:rFonts w:ascii="微软雅黑" w:eastAsia="微软雅黑" w:hAnsi="微软雅黑" w:cs="宋体" w:hint="eastAsia"/>
          <w:sz w:val="24"/>
          <w:szCs w:val="24"/>
        </w:rPr>
        <w:t xml:space="preserve">　适用在线诉讼的案件，各方诉讼主体可以通过在线确认、电子签章等方式，确认和签收调解协议、笔录、电子送达凭证及其他诉讼材料。</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第三十四条</w:t>
      </w:r>
      <w:r w:rsidRPr="00FF6DD1">
        <w:rPr>
          <w:rFonts w:ascii="微软雅黑" w:eastAsia="微软雅黑" w:hAnsi="微软雅黑" w:cs="宋体" w:hint="eastAsia"/>
          <w:sz w:val="24"/>
          <w:szCs w:val="24"/>
        </w:rPr>
        <w:t xml:space="preserve">　适用在线诉讼的案件，人民法院应当在调解、证据交换、庭审、合议等诉讼环节同步形成电子笔录。电子笔录以在线方式核对确认后，与书面笔录具有同等法律效力。</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第三十五条</w:t>
      </w:r>
      <w:r w:rsidRPr="00FF6DD1">
        <w:rPr>
          <w:rFonts w:ascii="微软雅黑" w:eastAsia="微软雅黑" w:hAnsi="微软雅黑" w:cs="宋体" w:hint="eastAsia"/>
          <w:sz w:val="24"/>
          <w:szCs w:val="24"/>
        </w:rPr>
        <w:t xml:space="preserve">　适用在线诉讼的案件，人民法院应当利用技术手段随案同步生成电子卷宗，形成电子档案。电子档案的立卷、归档、存储、利用等，按照档案管理相关法律法规的规定执行。</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案件无纸质材料或者纸质材料已经全部转化为电子材料的，第一审人民法院可以采用电子卷宗代替纸质卷宗进行上诉移送。</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适用在线诉讼的案件存在纸质卷宗材料的，应当按照档案管理相关法律法规立卷、归档和保存。</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第三十六条</w:t>
      </w:r>
      <w:r w:rsidRPr="00FF6DD1">
        <w:rPr>
          <w:rFonts w:ascii="微软雅黑" w:eastAsia="微软雅黑" w:hAnsi="微软雅黑" w:cs="宋体" w:hint="eastAsia"/>
          <w:sz w:val="24"/>
          <w:szCs w:val="24"/>
        </w:rPr>
        <w:t xml:space="preserve">　执行裁决案件的在线立案、电子材料提交、执行和解、询问当事人、电子送达等环节，适用本规则的相关规定办理。</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人民法院可以通过财产查控系统、网络询价评估平台、网络拍卖平台、信用惩戒系统等，在线完成财产查明、查封、扣押、冻结、划扣、变价和惩戒等执行实施环节。</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第三十七条</w:t>
      </w:r>
      <w:r w:rsidRPr="00FF6DD1">
        <w:rPr>
          <w:rFonts w:ascii="微软雅黑" w:eastAsia="微软雅黑" w:hAnsi="微软雅黑" w:cs="宋体" w:hint="eastAsia"/>
          <w:sz w:val="24"/>
          <w:szCs w:val="24"/>
        </w:rPr>
        <w:t xml:space="preserve">　符合本规定第三条第二项规定的刑事案件，经公诉人、当事人、辩护人同意，可以根据案件情况，采取在线方式讯问被告人、开庭审理、宣判等。</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案件采取在线方式审理的，按照以下情形分别处理：</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（一）被告人、罪犯被羁押的，可以在看守所、监狱等羁押场所在线出庭；</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（二）被告人、罪犯未被羁押的，因特殊原因确实无法到庭的，可以在人民法院指定的场所在线出庭；</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sz w:val="24"/>
          <w:szCs w:val="24"/>
        </w:rPr>
        <w:t>（三）证人、鉴定人一般应当在线下出庭，但法律和司法解释另有规定的除外。</w:t>
      </w:r>
    </w:p>
    <w:p w:rsidR="00AE6AD0" w:rsidRPr="00FF6DD1" w:rsidRDefault="001D75EC" w:rsidP="00FF6DD1">
      <w:pPr>
        <w:pStyle w:val="a3"/>
        <w:spacing w:line="320" w:lineRule="exact"/>
        <w:ind w:firstLineChars="200" w:firstLine="480"/>
        <w:rPr>
          <w:rFonts w:ascii="微软雅黑" w:eastAsia="微软雅黑" w:hAnsi="微软雅黑" w:cs="宋体"/>
          <w:sz w:val="24"/>
          <w:szCs w:val="24"/>
        </w:rPr>
      </w:pPr>
      <w:r w:rsidRPr="00FF6DD1">
        <w:rPr>
          <w:rFonts w:ascii="微软雅黑" w:eastAsia="微软雅黑" w:hAnsi="微软雅黑" w:cs="宋体" w:hint="eastAsia"/>
          <w:b/>
          <w:sz w:val="24"/>
          <w:szCs w:val="24"/>
        </w:rPr>
        <w:t>第三十八条</w:t>
      </w:r>
      <w:r w:rsidRPr="00FF6DD1">
        <w:rPr>
          <w:rFonts w:ascii="微软雅黑" w:eastAsia="微软雅黑" w:hAnsi="微软雅黑" w:cs="宋体" w:hint="eastAsia"/>
          <w:sz w:val="24"/>
          <w:szCs w:val="24"/>
        </w:rPr>
        <w:t xml:space="preserve">　参与在线诉讼的相关主体应当遵守数据安全和个人信息保护的相关法律法规，履行数据安全和个人信息保护义务。除人民法院依法公开的以外，任何人不得违法违规披露、传播和使用在线诉讼数据信息。出现上述情形的，人民法院可以根据具体情况，依照法律和司法解释关于数据安全、个人信息保护以及妨害诉讼的规定追究相关单位和人员法律责任，构成犯罪的，依法追究刑事责任。</w:t>
      </w:r>
    </w:p>
    <w:p w:rsidR="00124FE6" w:rsidRPr="00FF6DD1" w:rsidRDefault="001D75EC" w:rsidP="00FF6DD1">
      <w:pPr>
        <w:pStyle w:val="a3"/>
        <w:spacing w:line="320" w:lineRule="exact"/>
        <w:ind w:firstLineChars="200" w:firstLine="480"/>
        <w:rPr>
          <w:rFonts w:ascii="微软雅黑" w:eastAsia="微软雅黑" w:hAnsi="微软雅黑" w:cs="宋体" w:hint="eastAsia"/>
          <w:sz w:val="24"/>
          <w:szCs w:val="24"/>
        </w:rPr>
      </w:pPr>
      <w:r w:rsidRPr="00FF6DD1">
        <w:rPr>
          <w:rFonts w:ascii="微软雅黑" w:eastAsia="微软雅黑" w:hAnsi="微软雅黑" w:cs="宋体" w:hint="eastAsia"/>
          <w:b/>
          <w:sz w:val="24"/>
          <w:szCs w:val="24"/>
        </w:rPr>
        <w:t>第三十九条</w:t>
      </w:r>
      <w:r w:rsidRPr="00FF6DD1">
        <w:rPr>
          <w:rFonts w:ascii="微软雅黑" w:eastAsia="微软雅黑" w:hAnsi="微软雅黑" w:cs="宋体" w:hint="eastAsia"/>
          <w:sz w:val="24"/>
          <w:szCs w:val="24"/>
        </w:rPr>
        <w:t xml:space="preserve">　本规则自2021年8月1日起施行。最高人民法院之前发布的司法解释涉及在线诉讼的规定与本规则不一致的，以本规则为准。</w:t>
      </w:r>
    </w:p>
    <w:sectPr w:rsidR="00124FE6" w:rsidRPr="00FF6DD1" w:rsidSect="0064640C">
      <w:footerReference w:type="even" r:id="rId8"/>
      <w:footerReference w:type="default" r:id="rId9"/>
      <w:pgSz w:w="11906" w:h="16838"/>
      <w:pgMar w:top="720" w:right="720" w:bottom="720" w:left="720" w:header="567" w:footer="56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78C7" w:rsidRDefault="00AD78C7">
      <w:r>
        <w:separator/>
      </w:r>
    </w:p>
  </w:endnote>
  <w:endnote w:type="continuationSeparator" w:id="0">
    <w:p w:rsidR="00AD78C7" w:rsidRDefault="00AD7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Times">
    <w:panose1 w:val="02020603050405020304"/>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AD0" w:rsidRDefault="00AD78C7">
    <w:pPr>
      <w:pStyle w:val="a7"/>
      <w:ind w:right="360" w:firstLine="360"/>
    </w:pPr>
    <w:r>
      <w:pict>
        <v:shapetype id="_x0000_t202" coordsize="21600,21600" o:spt="202" path="m,l,21600r21600,l21600,xe">
          <v:stroke joinstyle="miter"/>
          <v:path gradientshapeok="t" o:connecttype="rect"/>
        </v:shapetype>
        <v:shape id="_x0000_s3074" type="#_x0000_t202" style="position:absolute;left:0;text-align:left;margin-left:483pt;margin-top:1.55pt;width:35.05pt;height:18.15pt;z-index:251659264;mso-wrap-style:none;mso-position-horizontal-relative:margin" filled="f" stroked="f">
          <v:textbox style="mso-fit-shape-to-text:t" inset="0,0,0,0">
            <w:txbxContent>
              <w:p w:rsidR="00AE6AD0" w:rsidRDefault="00114AF7">
                <w:pPr>
                  <w:pStyle w:val="a7"/>
                  <w:rPr>
                    <w:rStyle w:val="aa"/>
                  </w:rPr>
                </w:pPr>
                <w:r>
                  <w:rPr>
                    <w:rStyle w:val="aa"/>
                    <w:rFonts w:ascii="宋体" w:hAnsi="宋体" w:cs="宋体" w:hint="eastAsia"/>
                    <w:sz w:val="28"/>
                    <w:szCs w:val="28"/>
                  </w:rPr>
                  <w:fldChar w:fldCharType="begin"/>
                </w:r>
                <w:r w:rsidR="001D75EC">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sidR="000D3DE9">
                  <w:rPr>
                    <w:rStyle w:val="aa"/>
                    <w:rFonts w:ascii="宋体" w:hAnsi="宋体" w:cs="宋体"/>
                    <w:noProof/>
                    <w:sz w:val="28"/>
                    <w:szCs w:val="28"/>
                  </w:rPr>
                  <w:t>- 2 -</w:t>
                </w:r>
                <w:r>
                  <w:rPr>
                    <w:rStyle w:val="aa"/>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AD0" w:rsidRDefault="00AD78C7">
    <w:pPr>
      <w:pStyle w:val="a7"/>
      <w:ind w:right="360"/>
    </w:pPr>
    <w:r>
      <w:pict>
        <v:shapetype id="_x0000_t202" coordsize="21600,21600" o:spt="202" path="m,l,21600r21600,l21600,xe">
          <v:stroke joinstyle="miter"/>
          <v:path gradientshapeok="t" o:connecttype="rect"/>
        </v:shapetype>
        <v:shape id="_x0000_s3073" type="#_x0000_t202" style="position:absolute;margin-left:481.45pt;margin-top:3.8pt;width:35.05pt;height:18.15pt;z-index:251658240;mso-wrap-style:none;mso-position-horizontal-relative:margin" filled="f" stroked="f">
          <v:textbox style="mso-fit-shape-to-text:t" inset="0,0,0,0">
            <w:txbxContent>
              <w:p w:rsidR="00AE6AD0" w:rsidRDefault="00114AF7">
                <w:pPr>
                  <w:pStyle w:val="a7"/>
                  <w:rPr>
                    <w:rStyle w:val="aa"/>
                    <w:rFonts w:ascii="Times" w:hAnsi="Times" w:hint="eastAsia"/>
                    <w:sz w:val="28"/>
                  </w:rPr>
                </w:pPr>
                <w:r>
                  <w:rPr>
                    <w:rStyle w:val="aa"/>
                    <w:rFonts w:ascii="宋体" w:hAnsi="宋体" w:cs="宋体" w:hint="eastAsia"/>
                    <w:sz w:val="28"/>
                  </w:rPr>
                  <w:fldChar w:fldCharType="begin"/>
                </w:r>
                <w:r w:rsidR="001D75EC">
                  <w:rPr>
                    <w:rStyle w:val="aa"/>
                    <w:rFonts w:ascii="宋体" w:hAnsi="宋体" w:cs="宋体" w:hint="eastAsia"/>
                    <w:sz w:val="28"/>
                  </w:rPr>
                  <w:instrText xml:space="preserve">PAGE  </w:instrText>
                </w:r>
                <w:r>
                  <w:rPr>
                    <w:rStyle w:val="aa"/>
                    <w:rFonts w:ascii="宋体" w:hAnsi="宋体" w:cs="宋体" w:hint="eastAsia"/>
                    <w:sz w:val="28"/>
                  </w:rPr>
                  <w:fldChar w:fldCharType="separate"/>
                </w:r>
                <w:r w:rsidR="000D3DE9">
                  <w:rPr>
                    <w:rStyle w:val="aa"/>
                    <w:rFonts w:ascii="宋体" w:hAnsi="宋体" w:cs="宋体"/>
                    <w:noProof/>
                    <w:sz w:val="28"/>
                  </w:rPr>
                  <w:t>- 1 -</w:t>
                </w:r>
                <w:r>
                  <w:rPr>
                    <w:rStyle w:val="aa"/>
                    <w:rFonts w:ascii="宋体" w:hAnsi="宋体" w:cs="宋体" w:hint="eastAsia"/>
                    <w:sz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78C7" w:rsidRDefault="00AD78C7">
      <w:r>
        <w:separator/>
      </w:r>
    </w:p>
  </w:footnote>
  <w:footnote w:type="continuationSeparator" w:id="0">
    <w:p w:rsidR="00AD78C7" w:rsidRDefault="00AD78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3DE9"/>
    <w:rsid w:val="000D7352"/>
    <w:rsid w:val="000E4EE9"/>
    <w:rsid w:val="000E5187"/>
    <w:rsid w:val="000E56CF"/>
    <w:rsid w:val="000E6D88"/>
    <w:rsid w:val="000F150B"/>
    <w:rsid w:val="000F2196"/>
    <w:rsid w:val="000F2D91"/>
    <w:rsid w:val="00105EA6"/>
    <w:rsid w:val="001066EE"/>
    <w:rsid w:val="00106D59"/>
    <w:rsid w:val="00114AF7"/>
    <w:rsid w:val="001211C7"/>
    <w:rsid w:val="00124FE6"/>
    <w:rsid w:val="00125415"/>
    <w:rsid w:val="00133F36"/>
    <w:rsid w:val="00135979"/>
    <w:rsid w:val="00136385"/>
    <w:rsid w:val="00141FB6"/>
    <w:rsid w:val="00156266"/>
    <w:rsid w:val="001614DD"/>
    <w:rsid w:val="001617A2"/>
    <w:rsid w:val="00162880"/>
    <w:rsid w:val="0016489F"/>
    <w:rsid w:val="0016665A"/>
    <w:rsid w:val="00170A71"/>
    <w:rsid w:val="00174FB6"/>
    <w:rsid w:val="00182BD9"/>
    <w:rsid w:val="001A7520"/>
    <w:rsid w:val="001B131A"/>
    <w:rsid w:val="001B153F"/>
    <w:rsid w:val="001B6523"/>
    <w:rsid w:val="001D4E14"/>
    <w:rsid w:val="001D5662"/>
    <w:rsid w:val="001D75EC"/>
    <w:rsid w:val="001E1AB1"/>
    <w:rsid w:val="001F6C7B"/>
    <w:rsid w:val="002064F7"/>
    <w:rsid w:val="00206B2B"/>
    <w:rsid w:val="0021638E"/>
    <w:rsid w:val="002216B9"/>
    <w:rsid w:val="0023259F"/>
    <w:rsid w:val="00233F94"/>
    <w:rsid w:val="00235183"/>
    <w:rsid w:val="00241E35"/>
    <w:rsid w:val="002428F9"/>
    <w:rsid w:val="0025742F"/>
    <w:rsid w:val="002671B1"/>
    <w:rsid w:val="00271C80"/>
    <w:rsid w:val="002763B3"/>
    <w:rsid w:val="00277543"/>
    <w:rsid w:val="00281EEF"/>
    <w:rsid w:val="0028710F"/>
    <w:rsid w:val="002A0E27"/>
    <w:rsid w:val="002A0E47"/>
    <w:rsid w:val="002A1765"/>
    <w:rsid w:val="002A1BB0"/>
    <w:rsid w:val="002A7E25"/>
    <w:rsid w:val="002B5E8C"/>
    <w:rsid w:val="002C11D2"/>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0609D"/>
    <w:rsid w:val="00422EA0"/>
    <w:rsid w:val="00424C9C"/>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4F569D"/>
    <w:rsid w:val="00506C84"/>
    <w:rsid w:val="005142A1"/>
    <w:rsid w:val="00517CAB"/>
    <w:rsid w:val="00536EBF"/>
    <w:rsid w:val="0053713F"/>
    <w:rsid w:val="005433C2"/>
    <w:rsid w:val="005502F2"/>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4640C"/>
    <w:rsid w:val="00661621"/>
    <w:rsid w:val="006711F4"/>
    <w:rsid w:val="0068140B"/>
    <w:rsid w:val="00685825"/>
    <w:rsid w:val="0069347C"/>
    <w:rsid w:val="006B086F"/>
    <w:rsid w:val="006E1FF4"/>
    <w:rsid w:val="006E6E3E"/>
    <w:rsid w:val="006E7630"/>
    <w:rsid w:val="006F0A7E"/>
    <w:rsid w:val="006F6FC3"/>
    <w:rsid w:val="006F7D77"/>
    <w:rsid w:val="00715180"/>
    <w:rsid w:val="00720A73"/>
    <w:rsid w:val="00720CAF"/>
    <w:rsid w:val="00722ED9"/>
    <w:rsid w:val="00724377"/>
    <w:rsid w:val="007276B4"/>
    <w:rsid w:val="00733E0F"/>
    <w:rsid w:val="00745D25"/>
    <w:rsid w:val="007506EE"/>
    <w:rsid w:val="0075447F"/>
    <w:rsid w:val="00754A2D"/>
    <w:rsid w:val="007643CE"/>
    <w:rsid w:val="00766157"/>
    <w:rsid w:val="00767F68"/>
    <w:rsid w:val="00771E84"/>
    <w:rsid w:val="0077490A"/>
    <w:rsid w:val="007775EF"/>
    <w:rsid w:val="007A51E0"/>
    <w:rsid w:val="007A6544"/>
    <w:rsid w:val="007A7FD3"/>
    <w:rsid w:val="007B2410"/>
    <w:rsid w:val="007C01D1"/>
    <w:rsid w:val="007C5705"/>
    <w:rsid w:val="007D13B8"/>
    <w:rsid w:val="007D77CE"/>
    <w:rsid w:val="007E3C61"/>
    <w:rsid w:val="00802CDC"/>
    <w:rsid w:val="00805E1D"/>
    <w:rsid w:val="00813FEC"/>
    <w:rsid w:val="00814E29"/>
    <w:rsid w:val="00823C1E"/>
    <w:rsid w:val="00826D77"/>
    <w:rsid w:val="0083338D"/>
    <w:rsid w:val="00857DBC"/>
    <w:rsid w:val="008701AB"/>
    <w:rsid w:val="0087139A"/>
    <w:rsid w:val="00871F4E"/>
    <w:rsid w:val="00877798"/>
    <w:rsid w:val="008802DB"/>
    <w:rsid w:val="00881967"/>
    <w:rsid w:val="00884D26"/>
    <w:rsid w:val="00885F48"/>
    <w:rsid w:val="00890F76"/>
    <w:rsid w:val="0089274E"/>
    <w:rsid w:val="008A08FA"/>
    <w:rsid w:val="008C663E"/>
    <w:rsid w:val="008D6BDA"/>
    <w:rsid w:val="008E70E5"/>
    <w:rsid w:val="008F50DB"/>
    <w:rsid w:val="008F5238"/>
    <w:rsid w:val="008F7723"/>
    <w:rsid w:val="00904BC8"/>
    <w:rsid w:val="00911248"/>
    <w:rsid w:val="00913A4E"/>
    <w:rsid w:val="00925F75"/>
    <w:rsid w:val="009273E3"/>
    <w:rsid w:val="00927D41"/>
    <w:rsid w:val="00956551"/>
    <w:rsid w:val="009621F2"/>
    <w:rsid w:val="009679B1"/>
    <w:rsid w:val="00971108"/>
    <w:rsid w:val="0097410F"/>
    <w:rsid w:val="00974280"/>
    <w:rsid w:val="00974393"/>
    <w:rsid w:val="0097704C"/>
    <w:rsid w:val="00986E71"/>
    <w:rsid w:val="00992211"/>
    <w:rsid w:val="009942EB"/>
    <w:rsid w:val="009A1862"/>
    <w:rsid w:val="009A78E1"/>
    <w:rsid w:val="009A7FCF"/>
    <w:rsid w:val="009B548C"/>
    <w:rsid w:val="009C6F84"/>
    <w:rsid w:val="009D18B6"/>
    <w:rsid w:val="009E6F62"/>
    <w:rsid w:val="009E7F86"/>
    <w:rsid w:val="009F1030"/>
    <w:rsid w:val="009F1B6D"/>
    <w:rsid w:val="00A02039"/>
    <w:rsid w:val="00A04BD7"/>
    <w:rsid w:val="00A20EDD"/>
    <w:rsid w:val="00A212C7"/>
    <w:rsid w:val="00A23406"/>
    <w:rsid w:val="00A27EDD"/>
    <w:rsid w:val="00A35D41"/>
    <w:rsid w:val="00A40953"/>
    <w:rsid w:val="00A42C49"/>
    <w:rsid w:val="00A459E3"/>
    <w:rsid w:val="00A571FE"/>
    <w:rsid w:val="00A636AF"/>
    <w:rsid w:val="00A65AA4"/>
    <w:rsid w:val="00A773EC"/>
    <w:rsid w:val="00A87D66"/>
    <w:rsid w:val="00AA03DB"/>
    <w:rsid w:val="00AA164E"/>
    <w:rsid w:val="00AA3B2D"/>
    <w:rsid w:val="00AA7268"/>
    <w:rsid w:val="00AB0D6D"/>
    <w:rsid w:val="00AB68DD"/>
    <w:rsid w:val="00AC2B0B"/>
    <w:rsid w:val="00AD35D8"/>
    <w:rsid w:val="00AD6BB8"/>
    <w:rsid w:val="00AD78C7"/>
    <w:rsid w:val="00AE6AD0"/>
    <w:rsid w:val="00AF00B4"/>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85BE4"/>
    <w:rsid w:val="00CA3B61"/>
    <w:rsid w:val="00CB05CD"/>
    <w:rsid w:val="00CB268F"/>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7443"/>
    <w:rsid w:val="00DA0CA4"/>
    <w:rsid w:val="00DA3276"/>
    <w:rsid w:val="00DA4ED8"/>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6A87"/>
    <w:rsid w:val="00E56E52"/>
    <w:rsid w:val="00E715B9"/>
    <w:rsid w:val="00E854B0"/>
    <w:rsid w:val="00E9403C"/>
    <w:rsid w:val="00E956E5"/>
    <w:rsid w:val="00E95DF8"/>
    <w:rsid w:val="00E97496"/>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4A15"/>
    <w:rsid w:val="00F46B3C"/>
    <w:rsid w:val="00F4779A"/>
    <w:rsid w:val="00F64D94"/>
    <w:rsid w:val="00F70562"/>
    <w:rsid w:val="00F744B5"/>
    <w:rsid w:val="00F74986"/>
    <w:rsid w:val="00F845F5"/>
    <w:rsid w:val="00F84788"/>
    <w:rsid w:val="00F865EA"/>
    <w:rsid w:val="00F9078C"/>
    <w:rsid w:val="00F90AF4"/>
    <w:rsid w:val="00F92C7B"/>
    <w:rsid w:val="00FA21BD"/>
    <w:rsid w:val="00FB237A"/>
    <w:rsid w:val="00FB46C7"/>
    <w:rsid w:val="00FC2B5F"/>
    <w:rsid w:val="00FC3C13"/>
    <w:rsid w:val="00FD0009"/>
    <w:rsid w:val="00FD51B5"/>
    <w:rsid w:val="00FF402A"/>
    <w:rsid w:val="00FF690A"/>
    <w:rsid w:val="00FF6DD1"/>
    <w:rsid w:val="045C1E48"/>
    <w:rsid w:val="2A7834AE"/>
    <w:rsid w:val="516F5883"/>
    <w:rsid w:val="6FFB0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6471C9D3"/>
  <w15:docId w15:val="{39CDC623-6AE2-40F8-9AB3-B8BCBFF3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65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956551"/>
    <w:rPr>
      <w:rFonts w:ascii="宋体" w:hAnsi="Courier New" w:cs="Courier New"/>
      <w:szCs w:val="21"/>
    </w:rPr>
  </w:style>
  <w:style w:type="paragraph" w:styleId="a5">
    <w:name w:val="Balloon Text"/>
    <w:basedOn w:val="a"/>
    <w:link w:val="a6"/>
    <w:qFormat/>
    <w:rsid w:val="00956551"/>
    <w:rPr>
      <w:sz w:val="18"/>
      <w:szCs w:val="18"/>
    </w:rPr>
  </w:style>
  <w:style w:type="paragraph" w:styleId="a7">
    <w:name w:val="footer"/>
    <w:basedOn w:val="a"/>
    <w:qFormat/>
    <w:rsid w:val="00956551"/>
    <w:pPr>
      <w:tabs>
        <w:tab w:val="center" w:pos="4153"/>
        <w:tab w:val="right" w:pos="8306"/>
      </w:tabs>
      <w:snapToGrid w:val="0"/>
      <w:jc w:val="left"/>
    </w:pPr>
    <w:rPr>
      <w:sz w:val="18"/>
      <w:szCs w:val="18"/>
    </w:rPr>
  </w:style>
  <w:style w:type="paragraph" w:styleId="a8">
    <w:name w:val="header"/>
    <w:basedOn w:val="a"/>
    <w:link w:val="a9"/>
    <w:qFormat/>
    <w:rsid w:val="00956551"/>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rsid w:val="00956551"/>
  </w:style>
  <w:style w:type="paragraph" w:customStyle="1" w:styleId="ParaCharCharCharCharCharCharChar">
    <w:name w:val="默认段落字体 Para Char Char Char Char Char Char Char"/>
    <w:basedOn w:val="a"/>
    <w:rsid w:val="00956551"/>
  </w:style>
  <w:style w:type="character" w:customStyle="1" w:styleId="a9">
    <w:name w:val="页眉 字符"/>
    <w:basedOn w:val="a0"/>
    <w:link w:val="a8"/>
    <w:rsid w:val="00956551"/>
    <w:rPr>
      <w:kern w:val="2"/>
      <w:sz w:val="18"/>
      <w:szCs w:val="18"/>
    </w:rPr>
  </w:style>
  <w:style w:type="character" w:customStyle="1" w:styleId="a6">
    <w:name w:val="批注框文本 字符"/>
    <w:basedOn w:val="a0"/>
    <w:link w:val="a5"/>
    <w:rsid w:val="00956551"/>
    <w:rPr>
      <w:kern w:val="2"/>
      <w:sz w:val="18"/>
      <w:szCs w:val="18"/>
    </w:rPr>
  </w:style>
  <w:style w:type="character" w:customStyle="1" w:styleId="a4">
    <w:name w:val="纯文本 字符"/>
    <w:basedOn w:val="a0"/>
    <w:link w:val="a3"/>
    <w:uiPriority w:val="99"/>
    <w:qFormat/>
    <w:rsid w:val="00956551"/>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097665-C494-42CA-B9AA-EE343C71D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1104</Words>
  <Characters>6297</Characters>
  <Application>Microsoft Office Word</Application>
  <DocSecurity>0</DocSecurity>
  <Lines>52</Lines>
  <Paragraphs>14</Paragraphs>
  <ScaleCrop>false</ScaleCrop>
  <Company>Lenovo (Beijing) Limited</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14</cp:revision>
  <cp:lastPrinted>2014-04-03T09:04:00Z</cp:lastPrinted>
  <dcterms:created xsi:type="dcterms:W3CDTF">2021-06-16T06:06:00Z</dcterms:created>
  <dcterms:modified xsi:type="dcterms:W3CDTF">2025-08-27T01:48:00Z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FA55A865CEED4A37957BC0ADF32F2707</vt:lpwstr>
  </property>
</Properties>
</file>